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54" w:rsidRDefault="003C5454" w:rsidP="003C5454">
      <w:pPr>
        <w:pStyle w:val="2"/>
        <w:overflowPunct w:val="0"/>
        <w:autoSpaceDE w:val="0"/>
        <w:autoSpaceDN w:val="0"/>
        <w:adjustRightInd w:val="0"/>
        <w:spacing w:before="120"/>
        <w:textAlignment w:val="baseline"/>
        <w:rPr>
          <w:szCs w:val="20"/>
        </w:rPr>
      </w:pPr>
      <w:r>
        <w:rPr>
          <w:szCs w:val="20"/>
        </w:rPr>
        <w:t>Ικανότητα για δικαιοπραξία</w:t>
      </w:r>
    </w:p>
    <w:p w:rsidR="003C5454" w:rsidRDefault="003C5454" w:rsidP="003C5454">
      <w:pPr>
        <w:spacing w:before="120" w:line="360" w:lineRule="auto"/>
        <w:jc w:val="both"/>
        <w:rPr>
          <w:rFonts w:ascii="Arial" w:hAnsi="Arial" w:cs="Arial"/>
          <w:lang w:val="el-GR"/>
        </w:rPr>
      </w:pPr>
      <w:r>
        <w:rPr>
          <w:rFonts w:ascii="Arial" w:hAnsi="Arial" w:cs="Arial"/>
          <w:lang w:val="el-GR"/>
        </w:rPr>
        <w:t xml:space="preserve">Κάθε άνθρωπος έχει την ικανότητα δικαίου (δηλ. ικανότητα να έχει δικαιώματα και υποχρεώσεις, που προβλέπονται και ρυθμίζονται από το δίκαιο). Αυτό όμως δεν σημαίνει ότι κάθε άνθρωπος έχει την ικανότητα να επιφέρει με τις πράξεις του έννομα αποτελέσματα, να συμμετέχει δηλαδή στη δημιουργία και αλλοίωση εννόμων σχέσεων, να διαθέτει και να προστατεύει τα δικαιώματά του. </w:t>
      </w:r>
    </w:p>
    <w:p w:rsidR="003C5454" w:rsidRDefault="003C5454" w:rsidP="003C5454">
      <w:pPr>
        <w:spacing w:before="120" w:line="360" w:lineRule="auto"/>
        <w:jc w:val="both"/>
        <w:rPr>
          <w:rFonts w:ascii="Arial" w:hAnsi="Arial" w:cs="Arial"/>
          <w:lang w:val="el-GR"/>
        </w:rPr>
      </w:pPr>
      <w:r>
        <w:rPr>
          <w:rFonts w:ascii="Arial" w:hAnsi="Arial" w:cs="Arial"/>
          <w:i/>
          <w:iCs/>
          <w:lang w:val="el-GR"/>
        </w:rPr>
        <w:t>Ικανότητα για δικαιοπραξία</w:t>
      </w:r>
      <w:r>
        <w:rPr>
          <w:rFonts w:ascii="Arial" w:hAnsi="Arial" w:cs="Arial"/>
          <w:lang w:val="el-GR"/>
        </w:rPr>
        <w:t xml:space="preserve"> εννοούμε την ικανότητα για αυτοπρόσωπη επιχείρηση δικαιοπραξίας, που σημαίνει ικανότητα του προσώπου για δήλωση βουλήσεως, η οποία κατευθύνεται σε συγκεκριμένη έννομη συνέπεια, δηλ. στη δημιουργία, αλλοίωση ή κατάργηση δικαιωμάτων. Η ικανότητα</w:t>
      </w:r>
      <w:r>
        <w:rPr>
          <w:rFonts w:ascii="Arial" w:hAnsi="Arial" w:cs="Arial"/>
          <w:i/>
          <w:iCs/>
          <w:lang w:val="el-GR"/>
        </w:rPr>
        <w:t xml:space="preserve"> </w:t>
      </w:r>
      <w:r>
        <w:rPr>
          <w:rFonts w:ascii="Arial" w:hAnsi="Arial" w:cs="Arial"/>
          <w:lang w:val="el-GR"/>
        </w:rPr>
        <w:t>για δικαιοπραξία προϋποθέτει ένα όριο πνευματικής ωριμότητας. Κανονικά, η πνευματική ωριμότητα θα έπρεπε να ελέγχεται κατά περίπτωση, ανάλογα με το είδος της δικαιοπραξίας. Ο νόμος όμως κατέφυγε σε σταθερά σε όλους κριτήρια, προκειμένου να προστατεύσει τις συναλλαγές.</w:t>
      </w:r>
    </w:p>
    <w:p w:rsidR="003C5454" w:rsidRDefault="003C5454" w:rsidP="003C5454">
      <w:pPr>
        <w:spacing w:before="120" w:line="360" w:lineRule="auto"/>
        <w:jc w:val="both"/>
        <w:rPr>
          <w:rFonts w:ascii="Arial" w:hAnsi="Arial" w:cs="Arial"/>
          <w:lang w:val="el-GR"/>
        </w:rPr>
      </w:pPr>
      <w:r>
        <w:rPr>
          <w:rFonts w:ascii="Arial" w:hAnsi="Arial" w:cs="Arial"/>
          <w:lang w:val="el-GR"/>
        </w:rPr>
        <w:t>Τα δικαιώματα των ανίκανων για δικαιοπραξία ασκούν οι νόμιμοι αντιπρόσωποί τους. Η δήλωση βουλήσεως</w:t>
      </w:r>
      <w:r>
        <w:rPr>
          <w:rStyle w:val="a4"/>
          <w:rFonts w:ascii="Arial" w:hAnsi="Arial" w:cs="Arial"/>
          <w:lang w:val="el-GR"/>
        </w:rPr>
        <w:footnoteReference w:id="1"/>
      </w:r>
      <w:r>
        <w:rPr>
          <w:rFonts w:ascii="Arial" w:hAnsi="Arial" w:cs="Arial"/>
          <w:lang w:val="el-GR"/>
        </w:rPr>
        <w:t xml:space="preserve"> του νόμιμου αντιπρόσωπου δεσμεύει τον ανίκανο, εφ’ όσον γίνεται με τις προϋποθέσεις που ορίζει ο νόμος.</w:t>
      </w:r>
    </w:p>
    <w:p w:rsidR="003C5454" w:rsidRDefault="003C5454" w:rsidP="003C5454">
      <w:pPr>
        <w:spacing w:before="120" w:line="360" w:lineRule="auto"/>
        <w:jc w:val="both"/>
        <w:rPr>
          <w:rFonts w:ascii="Arial" w:hAnsi="Arial" w:cs="Arial"/>
          <w:lang w:val="el-GR"/>
        </w:rPr>
      </w:pPr>
      <w:r>
        <w:rPr>
          <w:rFonts w:ascii="Arial" w:hAnsi="Arial" w:cs="Arial"/>
          <w:lang w:val="el-GR"/>
        </w:rPr>
        <w:t>Αναφορικά με την δικαιοπρακτική ικανότητα, ο νόμος διακρίνει τα πρόσωπα σε:</w:t>
      </w:r>
    </w:p>
    <w:p w:rsidR="003C5454" w:rsidRDefault="003C5454" w:rsidP="003C5454">
      <w:pPr>
        <w:numPr>
          <w:ilvl w:val="0"/>
          <w:numId w:val="1"/>
        </w:numPr>
        <w:spacing w:before="120" w:line="360" w:lineRule="auto"/>
        <w:jc w:val="both"/>
        <w:rPr>
          <w:rFonts w:ascii="Arial" w:hAnsi="Arial" w:cs="Arial"/>
          <w:lang w:val="el-GR"/>
        </w:rPr>
      </w:pPr>
      <w:r>
        <w:rPr>
          <w:rFonts w:ascii="Arial" w:hAnsi="Arial" w:cs="Arial"/>
          <w:lang w:val="el-GR"/>
        </w:rPr>
        <w:t>απολύτως ικανά</w:t>
      </w:r>
    </w:p>
    <w:p w:rsidR="003C5454" w:rsidRDefault="003C5454" w:rsidP="003C5454">
      <w:pPr>
        <w:numPr>
          <w:ilvl w:val="0"/>
          <w:numId w:val="1"/>
        </w:numPr>
        <w:spacing w:before="120" w:line="360" w:lineRule="auto"/>
        <w:jc w:val="both"/>
        <w:rPr>
          <w:rFonts w:ascii="Arial" w:hAnsi="Arial" w:cs="Arial"/>
          <w:lang w:val="el-GR"/>
        </w:rPr>
      </w:pPr>
      <w:r>
        <w:rPr>
          <w:rFonts w:ascii="Arial" w:hAnsi="Arial" w:cs="Arial"/>
          <w:lang w:val="el-GR"/>
        </w:rPr>
        <w:t xml:space="preserve">απολύτως ανίκανα και </w:t>
      </w:r>
    </w:p>
    <w:p w:rsidR="003C5454" w:rsidRDefault="003C5454" w:rsidP="003C5454">
      <w:pPr>
        <w:numPr>
          <w:ilvl w:val="0"/>
          <w:numId w:val="1"/>
        </w:numPr>
        <w:spacing w:before="120" w:line="360" w:lineRule="auto"/>
        <w:jc w:val="both"/>
        <w:rPr>
          <w:rFonts w:ascii="Arial" w:hAnsi="Arial" w:cs="Arial"/>
          <w:lang w:val="el-GR"/>
        </w:rPr>
      </w:pPr>
      <w:proofErr w:type="spellStart"/>
      <w:r>
        <w:rPr>
          <w:rFonts w:ascii="Arial" w:hAnsi="Arial" w:cs="Arial"/>
          <w:lang w:val="el-GR"/>
        </w:rPr>
        <w:t>περιορισμένως</w:t>
      </w:r>
      <w:proofErr w:type="spellEnd"/>
      <w:r>
        <w:rPr>
          <w:rFonts w:ascii="Arial" w:hAnsi="Arial" w:cs="Arial"/>
          <w:lang w:val="el-GR"/>
        </w:rPr>
        <w:t xml:space="preserve"> ικανά</w:t>
      </w:r>
    </w:p>
    <w:p w:rsidR="003C5454" w:rsidRDefault="003C5454" w:rsidP="003C5454">
      <w:pPr>
        <w:spacing w:before="120" w:line="360" w:lineRule="auto"/>
        <w:jc w:val="both"/>
        <w:rPr>
          <w:rFonts w:ascii="Arial" w:hAnsi="Arial" w:cs="Arial"/>
          <w:lang w:val="el-GR"/>
        </w:rPr>
      </w:pPr>
      <w:r>
        <w:rPr>
          <w:rFonts w:ascii="Arial" w:hAnsi="Arial" w:cs="Arial"/>
          <w:b/>
          <w:bCs/>
          <w:lang w:val="el-GR"/>
        </w:rPr>
        <w:t>Ικανός για κάθε δικαιοπραξία</w:t>
      </w:r>
      <w:r>
        <w:rPr>
          <w:rFonts w:ascii="Arial" w:hAnsi="Arial" w:cs="Arial"/>
          <w:lang w:val="el-GR"/>
        </w:rPr>
        <w:t xml:space="preserve"> είναι ο ενήλικος (127 ΑΚ). Ο ενήλικος όμως που βρίσκεται σε πλήρη στερητική δικαστική συμπαράσταση (ΑΚ 128) είναι ανίκανος για δικαιοπραξία. </w:t>
      </w:r>
    </w:p>
    <w:p w:rsidR="003C5454" w:rsidRDefault="003C5454" w:rsidP="003C5454">
      <w:pPr>
        <w:spacing w:before="120" w:line="360" w:lineRule="auto"/>
        <w:jc w:val="both"/>
        <w:rPr>
          <w:rFonts w:ascii="Arial" w:hAnsi="Arial" w:cs="Arial"/>
          <w:i/>
          <w:iCs/>
          <w:lang w:val="el-GR"/>
        </w:rPr>
      </w:pPr>
      <w:r>
        <w:rPr>
          <w:rFonts w:ascii="Arial" w:hAnsi="Arial" w:cs="Arial"/>
          <w:b/>
          <w:bCs/>
          <w:lang w:val="el-GR"/>
        </w:rPr>
        <w:t xml:space="preserve">Ανίκανοι για δικαιοπραξία </w:t>
      </w:r>
      <w:r>
        <w:rPr>
          <w:rFonts w:ascii="Arial" w:hAnsi="Arial" w:cs="Arial"/>
          <w:lang w:val="el-GR"/>
        </w:rPr>
        <w:t>είναι</w:t>
      </w:r>
      <w:r>
        <w:rPr>
          <w:rFonts w:ascii="Arial" w:hAnsi="Arial" w:cs="Arial"/>
          <w:b/>
          <w:bCs/>
          <w:lang w:val="el-GR"/>
        </w:rPr>
        <w:t xml:space="preserve"> </w:t>
      </w:r>
      <w:r>
        <w:rPr>
          <w:rFonts w:ascii="Arial" w:hAnsi="Arial" w:cs="Arial"/>
          <w:lang w:val="el-GR"/>
        </w:rPr>
        <w:t>όσοι:</w:t>
      </w:r>
    </w:p>
    <w:p w:rsidR="003C5454" w:rsidRDefault="003C5454" w:rsidP="003C5454">
      <w:pPr>
        <w:numPr>
          <w:ilvl w:val="0"/>
          <w:numId w:val="3"/>
        </w:numPr>
        <w:spacing w:before="120" w:line="360" w:lineRule="auto"/>
        <w:jc w:val="both"/>
        <w:rPr>
          <w:rFonts w:ascii="Arial" w:hAnsi="Arial" w:cs="Arial"/>
          <w:lang w:val="el-GR"/>
        </w:rPr>
      </w:pPr>
      <w:r>
        <w:rPr>
          <w:rFonts w:ascii="Arial" w:hAnsi="Arial" w:cs="Arial"/>
          <w:lang w:val="el-GR"/>
        </w:rPr>
        <w:lastRenderedPageBreak/>
        <w:t xml:space="preserve">δεν έχουν συμπληρώσει το δέκατο έτος </w:t>
      </w:r>
    </w:p>
    <w:p w:rsidR="003C5454" w:rsidRDefault="003C5454" w:rsidP="003C5454">
      <w:pPr>
        <w:numPr>
          <w:ilvl w:val="0"/>
          <w:numId w:val="3"/>
        </w:numPr>
        <w:spacing w:before="120" w:line="360" w:lineRule="auto"/>
        <w:jc w:val="both"/>
        <w:rPr>
          <w:rFonts w:ascii="Arial" w:hAnsi="Arial" w:cs="Arial"/>
          <w:lang w:val="el-GR"/>
        </w:rPr>
      </w:pPr>
      <w:r>
        <w:rPr>
          <w:rFonts w:ascii="Arial" w:hAnsi="Arial" w:cs="Arial"/>
          <w:lang w:val="el-GR"/>
        </w:rPr>
        <w:t>βρίσκονται σε πλήρη στερητική δικαστική συμπαράσταση</w:t>
      </w:r>
      <w:r>
        <w:rPr>
          <w:rStyle w:val="a4"/>
          <w:rFonts w:ascii="Arial" w:hAnsi="Arial" w:cs="Arial"/>
          <w:lang w:val="el-GR"/>
        </w:rPr>
        <w:footnoteReference w:id="2"/>
      </w:r>
      <w:r>
        <w:rPr>
          <w:rFonts w:ascii="Arial" w:hAnsi="Arial" w:cs="Arial"/>
          <w:lang w:val="el-GR"/>
        </w:rPr>
        <w:t xml:space="preserve"> (ΑΚ 128)</w:t>
      </w:r>
    </w:p>
    <w:p w:rsidR="003C5454" w:rsidRDefault="003C5454" w:rsidP="003C5454">
      <w:pPr>
        <w:spacing w:before="120" w:line="360" w:lineRule="auto"/>
        <w:jc w:val="both"/>
        <w:rPr>
          <w:rFonts w:ascii="Arial" w:hAnsi="Arial" w:cs="Arial"/>
          <w:lang w:val="el-GR"/>
        </w:rPr>
      </w:pPr>
      <w:r>
        <w:rPr>
          <w:rFonts w:ascii="Arial" w:hAnsi="Arial" w:cs="Arial"/>
          <w:lang w:val="el-GR"/>
        </w:rPr>
        <w:t xml:space="preserve">Ανίκανος είναι και ο ενήλικος, αν κατά το χρόνο κατάρτισης της δικαιοπραξίας δεν είχε συνείδηση των πράξεών του (ναρκωτικά, βαθύς ύπνος, αλκοόλ κλπ) ή δεν είχε τη χρήση του λογικού, επειδή πάσχει από πνευματική ασθένεια (131 ΑΚ). Η δήλωση βουλήσεως του ενηλίκου που βρίσκεται σε αυτήν την κατάσταση είναι άκυρη. </w:t>
      </w:r>
    </w:p>
    <w:p w:rsidR="003C5454" w:rsidRDefault="003C5454" w:rsidP="003C5454">
      <w:pPr>
        <w:spacing w:before="120" w:line="360" w:lineRule="auto"/>
        <w:jc w:val="both"/>
        <w:rPr>
          <w:rFonts w:ascii="Arial" w:hAnsi="Arial" w:cs="Arial"/>
          <w:lang w:val="el-GR"/>
        </w:rPr>
      </w:pPr>
      <w:r>
        <w:rPr>
          <w:rFonts w:ascii="Arial" w:hAnsi="Arial" w:cs="Arial"/>
          <w:lang w:val="el-GR"/>
        </w:rPr>
        <w:t>Συνέπεια της ανικανότητας για δικαιοπραξία είναι η ακυρότητα της δηλώσεως βουλήσεως και συνακόλουθα και της δικαιοπραξίας, αφού η δήλωση βουλήσεως είναι ουσιώδες στοιχείο της δικαιοπραξίας. Σκοπός του νόμου είναι η προστασία των συμφερόντων των ανικάνων.</w:t>
      </w:r>
    </w:p>
    <w:p w:rsidR="003C5454" w:rsidRDefault="003C5454" w:rsidP="003C5454">
      <w:pPr>
        <w:tabs>
          <w:tab w:val="left" w:pos="540"/>
          <w:tab w:val="num" w:pos="1080"/>
          <w:tab w:val="left" w:pos="1260"/>
        </w:tabs>
        <w:spacing w:before="120" w:line="360" w:lineRule="auto"/>
        <w:jc w:val="both"/>
        <w:rPr>
          <w:rFonts w:ascii="Arial" w:hAnsi="Arial" w:cs="Arial"/>
          <w:lang w:val="el-GR"/>
        </w:rPr>
      </w:pPr>
    </w:p>
    <w:p w:rsidR="003C5454" w:rsidRDefault="003C5454" w:rsidP="003C5454">
      <w:pPr>
        <w:pStyle w:val="4"/>
        <w:rPr>
          <w:color w:val="auto"/>
          <w:sz w:val="24"/>
        </w:rPr>
      </w:pPr>
      <w:r>
        <w:rPr>
          <w:color w:val="auto"/>
          <w:sz w:val="24"/>
        </w:rPr>
        <w:t>Περιορισμένα ικανοί</w:t>
      </w:r>
    </w:p>
    <w:p w:rsidR="003C5454" w:rsidRDefault="003C5454" w:rsidP="003C5454">
      <w:pPr>
        <w:spacing w:before="120" w:line="360" w:lineRule="auto"/>
        <w:jc w:val="both"/>
        <w:rPr>
          <w:rFonts w:ascii="Arial" w:hAnsi="Arial" w:cs="Arial"/>
          <w:lang w:val="el-GR"/>
        </w:rPr>
      </w:pPr>
      <w:r>
        <w:rPr>
          <w:rFonts w:ascii="Arial" w:hAnsi="Arial" w:cs="Arial"/>
          <w:lang w:val="el-GR"/>
        </w:rPr>
        <w:t>Περιορισμένα ικανά είναι τα πρόσωπα, τα οποία είναι ικανά να επιχειρήσουν δικαιοπραξίες μόνο στις περιπτώσεις που ορίζει ο νόμος ή μόνο με τους όρους που τάσσει ο νόμος.</w:t>
      </w:r>
    </w:p>
    <w:p w:rsidR="003C5454" w:rsidRDefault="003C5454" w:rsidP="003C5454">
      <w:pPr>
        <w:spacing w:before="120" w:line="360" w:lineRule="auto"/>
        <w:jc w:val="both"/>
        <w:rPr>
          <w:rFonts w:ascii="Arial" w:hAnsi="Arial" w:cs="Arial"/>
          <w:lang w:val="el-GR"/>
        </w:rPr>
      </w:pPr>
      <w:r>
        <w:rPr>
          <w:rFonts w:ascii="Arial" w:hAnsi="Arial" w:cs="Arial"/>
          <w:lang w:val="el-GR"/>
        </w:rPr>
        <w:t>Περιορισμένα ικανοί είναι:</w:t>
      </w:r>
    </w:p>
    <w:p w:rsidR="003C5454" w:rsidRDefault="003C5454" w:rsidP="003C5454">
      <w:pPr>
        <w:numPr>
          <w:ilvl w:val="0"/>
          <w:numId w:val="2"/>
        </w:numPr>
        <w:spacing w:before="120" w:line="360" w:lineRule="auto"/>
        <w:jc w:val="both"/>
        <w:rPr>
          <w:rFonts w:ascii="Arial" w:hAnsi="Arial" w:cs="Arial"/>
          <w:i/>
          <w:iCs/>
          <w:lang w:val="el-GR"/>
        </w:rPr>
      </w:pPr>
      <w:r>
        <w:rPr>
          <w:rFonts w:ascii="Arial" w:hAnsi="Arial" w:cs="Arial"/>
          <w:i/>
          <w:iCs/>
          <w:lang w:val="el-GR"/>
        </w:rPr>
        <w:t xml:space="preserve">οι ανήλικοι που συμπλήρωσαν το δέκατο έτος </w:t>
      </w:r>
    </w:p>
    <w:p w:rsidR="003C5454" w:rsidRDefault="003C5454" w:rsidP="003C5454">
      <w:pPr>
        <w:numPr>
          <w:ilvl w:val="0"/>
          <w:numId w:val="2"/>
        </w:numPr>
        <w:spacing w:before="120" w:line="360" w:lineRule="auto"/>
        <w:jc w:val="both"/>
        <w:rPr>
          <w:rFonts w:ascii="Arial" w:hAnsi="Arial" w:cs="Arial"/>
          <w:i/>
          <w:iCs/>
          <w:lang w:val="el-GR"/>
        </w:rPr>
      </w:pPr>
      <w:r>
        <w:rPr>
          <w:rFonts w:ascii="Arial" w:hAnsi="Arial" w:cs="Arial"/>
          <w:i/>
          <w:iCs/>
          <w:lang w:val="el-GR"/>
        </w:rPr>
        <w:t>όποιοι βρίσκονται σε μερική στερητική δικαστική συμπαράσταση</w:t>
      </w:r>
      <w:r>
        <w:rPr>
          <w:rStyle w:val="a4"/>
          <w:rFonts w:ascii="Arial" w:hAnsi="Arial" w:cs="Arial"/>
          <w:lang w:val="el-GR"/>
        </w:rPr>
        <w:footnoteReference w:id="3"/>
      </w:r>
      <w:r>
        <w:rPr>
          <w:rFonts w:ascii="Arial" w:hAnsi="Arial" w:cs="Arial"/>
          <w:i/>
          <w:iCs/>
          <w:lang w:val="el-GR"/>
        </w:rPr>
        <w:t xml:space="preserve"> </w:t>
      </w:r>
    </w:p>
    <w:p w:rsidR="003C5454" w:rsidRDefault="003C5454" w:rsidP="003C5454">
      <w:pPr>
        <w:numPr>
          <w:ilvl w:val="0"/>
          <w:numId w:val="2"/>
        </w:numPr>
        <w:spacing w:before="120" w:line="360" w:lineRule="auto"/>
        <w:jc w:val="both"/>
        <w:rPr>
          <w:rFonts w:ascii="Arial" w:hAnsi="Arial" w:cs="Arial"/>
          <w:lang w:val="el-GR"/>
        </w:rPr>
      </w:pPr>
      <w:r>
        <w:rPr>
          <w:rFonts w:ascii="Arial" w:hAnsi="Arial" w:cs="Arial"/>
          <w:i/>
          <w:iCs/>
          <w:lang w:val="el-GR"/>
        </w:rPr>
        <w:lastRenderedPageBreak/>
        <w:t xml:space="preserve">όποιοι βρίσκονται σε επικουρική δικαστική συμπαράσταση (ΑΚ 129, </w:t>
      </w:r>
      <w:r>
        <w:rPr>
          <w:rFonts w:ascii="Arial" w:hAnsi="Arial" w:cs="Arial"/>
          <w:i/>
          <w:iCs/>
          <w:lang w:val="el-GR"/>
        </w:rPr>
        <w:tab/>
        <w:t>1676)</w:t>
      </w:r>
    </w:p>
    <w:p w:rsidR="003C5454" w:rsidRDefault="003C5454" w:rsidP="003C5454">
      <w:pPr>
        <w:pStyle w:val="a3"/>
        <w:overflowPunct w:val="0"/>
        <w:autoSpaceDE w:val="0"/>
        <w:autoSpaceDN w:val="0"/>
        <w:adjustRightInd w:val="0"/>
        <w:spacing w:before="120"/>
        <w:textAlignment w:val="baseline"/>
        <w:rPr>
          <w:szCs w:val="20"/>
        </w:rPr>
      </w:pPr>
      <w:r>
        <w:rPr>
          <w:szCs w:val="20"/>
        </w:rPr>
        <w:t>Ο νόμος δεν αντιμετωπίζει ενιαία τους ανηλίκους, αλλά καθιερώνει βαθμίδες ανάλογα με την ηλικία (10-14, 14-18) και αντίστοιχα προσδιορίζει τις δικαιοπραξίες που τους επιτρέπει να επιχειρήσουν.</w:t>
      </w:r>
    </w:p>
    <w:p w:rsidR="003C5454" w:rsidRDefault="003C5454" w:rsidP="003C5454">
      <w:pPr>
        <w:spacing w:before="120" w:line="360" w:lineRule="auto"/>
        <w:jc w:val="both"/>
        <w:rPr>
          <w:rFonts w:ascii="Arial" w:hAnsi="Arial" w:cs="Arial"/>
          <w:lang w:val="el-GR"/>
        </w:rPr>
      </w:pPr>
      <w:r>
        <w:rPr>
          <w:rFonts w:ascii="Arial" w:hAnsi="Arial" w:cs="Arial"/>
          <w:lang w:val="el-GR"/>
        </w:rPr>
        <w:t>Ο ΑΚ ορίζει το 15</w:t>
      </w:r>
      <w:r>
        <w:rPr>
          <w:rFonts w:ascii="Arial" w:hAnsi="Arial" w:cs="Arial"/>
          <w:vertAlign w:val="superscript"/>
          <w:lang w:val="el-GR"/>
        </w:rPr>
        <w:t>ο</w:t>
      </w:r>
      <w:r>
        <w:rPr>
          <w:rFonts w:ascii="Arial" w:hAnsi="Arial" w:cs="Arial"/>
          <w:lang w:val="el-GR"/>
        </w:rPr>
        <w:t xml:space="preserve"> έτος της ηλικίας ως όριο, από το οποίο μπορεί να συνάψει σύμβαση εργασίας ως μισθωτός.</w:t>
      </w:r>
    </w:p>
    <w:p w:rsidR="003C5454" w:rsidRDefault="003C5454" w:rsidP="003C5454">
      <w:pPr>
        <w:spacing w:before="120" w:line="360" w:lineRule="auto"/>
        <w:jc w:val="both"/>
        <w:rPr>
          <w:rFonts w:ascii="Arial" w:hAnsi="Arial" w:cs="Arial"/>
          <w:lang w:val="el-GR"/>
        </w:rPr>
      </w:pPr>
      <w:r>
        <w:rPr>
          <w:rFonts w:ascii="Arial" w:hAnsi="Arial" w:cs="Arial"/>
          <w:lang w:val="el-GR"/>
        </w:rPr>
        <w:t>Ορίζει επίσης τις δικαιοπραξίες που μπορεί να επιχειρεί ανήλικος, ο οποίος κατ' εξαίρεση συνήψε γάμο.</w:t>
      </w:r>
    </w:p>
    <w:p w:rsidR="00523C37" w:rsidRPr="003C5454" w:rsidRDefault="00523C37">
      <w:pPr>
        <w:rPr>
          <w:lang w:val="el-GR"/>
        </w:rPr>
      </w:pPr>
      <w:bookmarkStart w:id="0" w:name="_GoBack"/>
      <w:bookmarkEnd w:id="0"/>
    </w:p>
    <w:sectPr w:rsidR="00523C37" w:rsidRPr="003C54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54" w:rsidRDefault="003C5454" w:rsidP="003C5454">
      <w:r>
        <w:separator/>
      </w:r>
    </w:p>
  </w:endnote>
  <w:endnote w:type="continuationSeparator" w:id="0">
    <w:p w:rsidR="003C5454" w:rsidRDefault="003C5454" w:rsidP="003C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54" w:rsidRDefault="003C5454" w:rsidP="003C5454">
      <w:r>
        <w:separator/>
      </w:r>
    </w:p>
  </w:footnote>
  <w:footnote w:type="continuationSeparator" w:id="0">
    <w:p w:rsidR="003C5454" w:rsidRDefault="003C5454" w:rsidP="003C5454">
      <w:r>
        <w:continuationSeparator/>
      </w:r>
    </w:p>
  </w:footnote>
  <w:footnote w:id="1">
    <w:p w:rsidR="003C5454" w:rsidRDefault="003C5454" w:rsidP="003C5454">
      <w:pPr>
        <w:pStyle w:val="a5"/>
        <w:spacing w:before="120"/>
        <w:jc w:val="both"/>
        <w:rPr>
          <w:lang w:val="el-GR"/>
        </w:rPr>
      </w:pPr>
      <w:r>
        <w:rPr>
          <w:rStyle w:val="a4"/>
        </w:rPr>
        <w:footnoteRef/>
      </w:r>
      <w:r>
        <w:rPr>
          <w:lang w:val="el-GR"/>
        </w:rPr>
        <w:t xml:space="preserve"> </w:t>
      </w:r>
      <w:r>
        <w:rPr>
          <w:i/>
          <w:iCs/>
          <w:lang w:val="el-GR"/>
        </w:rPr>
        <w:t>Δήλωση βουλήσεως</w:t>
      </w:r>
      <w:r>
        <w:rPr>
          <w:lang w:val="el-GR"/>
        </w:rPr>
        <w:t xml:space="preserve"> είναι η έκφραση ιδιωτικής βούλησης, προς την οποία το δίκαιο συνδέει κάποια έννομη συνέπεια.</w:t>
      </w:r>
    </w:p>
    <w:p w:rsidR="003C5454" w:rsidRDefault="003C5454" w:rsidP="003C5454">
      <w:pPr>
        <w:pStyle w:val="a5"/>
        <w:spacing w:before="120"/>
        <w:jc w:val="both"/>
        <w:rPr>
          <w:lang w:val="el-GR"/>
        </w:rPr>
      </w:pPr>
    </w:p>
  </w:footnote>
  <w:footnote w:id="2">
    <w:p w:rsidR="003C5454" w:rsidRDefault="003C5454" w:rsidP="003C5454">
      <w:pPr>
        <w:spacing w:line="360" w:lineRule="auto"/>
        <w:jc w:val="both"/>
        <w:rPr>
          <w:i/>
          <w:iCs/>
          <w:sz w:val="20"/>
          <w:lang w:val="el-GR"/>
        </w:rPr>
      </w:pPr>
      <w:r>
        <w:rPr>
          <w:rStyle w:val="a4"/>
        </w:rPr>
        <w:footnoteRef/>
      </w:r>
      <w:r>
        <w:rPr>
          <w:lang w:val="el-GR"/>
        </w:rPr>
        <w:t xml:space="preserve"> </w:t>
      </w:r>
      <w:r>
        <w:rPr>
          <w:sz w:val="20"/>
          <w:lang w:val="el-GR"/>
        </w:rPr>
        <w:t>Σε δικαστική συμπαράσταση υποβάλλονται:</w:t>
      </w:r>
    </w:p>
    <w:p w:rsidR="003C5454" w:rsidRDefault="003C5454" w:rsidP="003C5454">
      <w:pPr>
        <w:spacing w:line="360" w:lineRule="auto"/>
        <w:jc w:val="both"/>
        <w:rPr>
          <w:i/>
          <w:iCs/>
          <w:sz w:val="20"/>
          <w:lang w:val="el-GR"/>
        </w:rPr>
      </w:pPr>
      <w:r>
        <w:rPr>
          <w:i/>
          <w:iCs/>
          <w:sz w:val="20"/>
          <w:lang w:val="el-GR"/>
        </w:rPr>
        <w:t xml:space="preserve">Ο </w:t>
      </w:r>
      <w:r>
        <w:rPr>
          <w:b/>
          <w:bCs/>
          <w:i/>
          <w:iCs/>
          <w:sz w:val="20"/>
          <w:lang w:val="el-GR"/>
        </w:rPr>
        <w:t>ενήλικος</w:t>
      </w:r>
      <w:r>
        <w:rPr>
          <w:i/>
          <w:iCs/>
          <w:sz w:val="20"/>
          <w:lang w:val="el-GR"/>
        </w:rPr>
        <w:t xml:space="preserve"> όταν:</w:t>
      </w:r>
    </w:p>
    <w:p w:rsidR="003C5454" w:rsidRDefault="003C5454" w:rsidP="003C5454">
      <w:pPr>
        <w:spacing w:line="360" w:lineRule="auto"/>
        <w:jc w:val="both"/>
        <w:rPr>
          <w:i/>
          <w:iCs/>
          <w:sz w:val="20"/>
          <w:lang w:val="el-GR"/>
        </w:rPr>
      </w:pPr>
      <w:r>
        <w:rPr>
          <w:i/>
          <w:iCs/>
          <w:sz w:val="20"/>
          <w:lang w:val="el-GR"/>
        </w:rPr>
        <w:t>- λόγω ψυχικής ή διανοητικής ή σωματικής αναπηρίας αδυνατεί να φροντίζει μόνος για τις υποθέσεις του</w:t>
      </w:r>
    </w:p>
    <w:p w:rsidR="003C5454" w:rsidRDefault="003C5454" w:rsidP="003C5454">
      <w:pPr>
        <w:spacing w:line="360" w:lineRule="auto"/>
        <w:jc w:val="both"/>
        <w:rPr>
          <w:i/>
          <w:iCs/>
          <w:sz w:val="20"/>
          <w:lang w:val="el-GR"/>
        </w:rPr>
      </w:pPr>
      <w:r>
        <w:rPr>
          <w:i/>
          <w:iCs/>
          <w:sz w:val="20"/>
          <w:lang w:val="el-GR"/>
        </w:rPr>
        <w:t>- λόγω ασωτίας, τοξικομανίας ή αλκοολισμού εκθέτει σε κίνδυνο στέρησης τον εαυτό του, το σύζυγο, τους κατιόντες ή τους ανιόντες του</w:t>
      </w:r>
    </w:p>
    <w:p w:rsidR="003C5454" w:rsidRDefault="003C5454" w:rsidP="003C5454">
      <w:pPr>
        <w:spacing w:line="360" w:lineRule="auto"/>
        <w:jc w:val="both"/>
        <w:rPr>
          <w:i/>
          <w:iCs/>
          <w:sz w:val="20"/>
          <w:lang w:val="el-GR"/>
        </w:rPr>
      </w:pPr>
      <w:r>
        <w:rPr>
          <w:i/>
          <w:iCs/>
          <w:sz w:val="20"/>
          <w:lang w:val="el-GR"/>
        </w:rPr>
        <w:t xml:space="preserve">Ο </w:t>
      </w:r>
      <w:r>
        <w:rPr>
          <w:b/>
          <w:bCs/>
          <w:i/>
          <w:iCs/>
          <w:sz w:val="20"/>
          <w:lang w:val="el-GR"/>
        </w:rPr>
        <w:t>ανήλικος</w:t>
      </w:r>
      <w:r>
        <w:rPr>
          <w:i/>
          <w:iCs/>
          <w:sz w:val="20"/>
          <w:lang w:val="el-GR"/>
        </w:rPr>
        <w:t xml:space="preserve"> μπορεί να υποβληθεί κατά το τελευταίο έτος της ανηλικότητάς του </w:t>
      </w:r>
    </w:p>
    <w:p w:rsidR="003C5454" w:rsidRDefault="003C5454" w:rsidP="003C5454">
      <w:pPr>
        <w:spacing w:line="360" w:lineRule="auto"/>
        <w:jc w:val="both"/>
        <w:rPr>
          <w:i/>
          <w:iCs/>
          <w:sz w:val="20"/>
          <w:lang w:val="el-GR"/>
        </w:rPr>
      </w:pPr>
      <w:r>
        <w:rPr>
          <w:b/>
          <w:bCs/>
          <w:i/>
          <w:iCs/>
          <w:sz w:val="20"/>
          <w:lang w:val="el-GR"/>
        </w:rPr>
        <w:t>Όποιος εκτίει ποινή</w:t>
      </w:r>
      <w:r>
        <w:rPr>
          <w:i/>
          <w:iCs/>
          <w:sz w:val="20"/>
          <w:lang w:val="el-GR"/>
        </w:rPr>
        <w:t xml:space="preserve"> στερητική της ελευθερίας τουλάχιστον δύο ετών</w:t>
      </w:r>
    </w:p>
    <w:p w:rsidR="003C5454" w:rsidRDefault="003C5454" w:rsidP="003C5454">
      <w:pPr>
        <w:pStyle w:val="a5"/>
        <w:rPr>
          <w:rFonts w:ascii="Times New Roman" w:hAnsi="Times New Roman"/>
          <w:i/>
          <w:iCs/>
          <w:lang w:val="el-GR"/>
        </w:rPr>
      </w:pPr>
      <w:r>
        <w:rPr>
          <w:rFonts w:ascii="Times New Roman" w:hAnsi="Times New Roman"/>
          <w:i/>
          <w:iCs/>
          <w:lang w:val="el-GR"/>
        </w:rPr>
        <w:t>(ΑΚ 1666, 1688)</w:t>
      </w:r>
    </w:p>
  </w:footnote>
  <w:footnote w:id="3">
    <w:p w:rsidR="003C5454" w:rsidRDefault="003C5454" w:rsidP="003C5454">
      <w:pPr>
        <w:spacing w:before="120"/>
        <w:jc w:val="both"/>
        <w:rPr>
          <w:rFonts w:cs="Arial"/>
          <w:sz w:val="20"/>
          <w:lang w:val="el-GR"/>
        </w:rPr>
      </w:pPr>
      <w:r>
        <w:rPr>
          <w:rStyle w:val="a4"/>
          <w:sz w:val="20"/>
        </w:rPr>
        <w:footnoteRef/>
      </w:r>
      <w:r>
        <w:rPr>
          <w:sz w:val="20"/>
          <w:lang w:val="el-GR"/>
        </w:rPr>
        <w:t xml:space="preserve"> </w:t>
      </w:r>
      <w:r>
        <w:rPr>
          <w:rFonts w:cs="Arial"/>
          <w:sz w:val="20"/>
          <w:lang w:val="el-GR"/>
        </w:rPr>
        <w:t>Τα είδη της δικαστικής συμπαράστασης είναι:</w:t>
      </w:r>
    </w:p>
    <w:p w:rsidR="003C5454" w:rsidRDefault="003C5454" w:rsidP="003C5454">
      <w:pPr>
        <w:spacing w:before="120"/>
        <w:jc w:val="both"/>
        <w:rPr>
          <w:rFonts w:cs="Arial"/>
          <w:i/>
          <w:iCs/>
          <w:sz w:val="20"/>
          <w:lang w:val="el-GR"/>
        </w:rPr>
      </w:pPr>
      <w:r>
        <w:rPr>
          <w:rFonts w:cs="Arial"/>
          <w:i/>
          <w:iCs/>
          <w:sz w:val="20"/>
          <w:lang w:val="el-GR"/>
        </w:rPr>
        <w:t xml:space="preserve">-Στερητική, πλήρης ή μερική, το δικαστήριο τον κηρύσσει ανίκανο για όλες ή για ορισμένες δικαιοπραξίες </w:t>
      </w:r>
    </w:p>
    <w:p w:rsidR="003C5454" w:rsidRDefault="003C5454" w:rsidP="003C5454">
      <w:pPr>
        <w:spacing w:before="120"/>
        <w:jc w:val="both"/>
        <w:rPr>
          <w:rFonts w:cs="Arial"/>
          <w:i/>
          <w:iCs/>
          <w:sz w:val="20"/>
          <w:lang w:val="el-GR"/>
        </w:rPr>
      </w:pPr>
      <w:r>
        <w:rPr>
          <w:rFonts w:cs="Arial"/>
          <w:i/>
          <w:iCs/>
          <w:sz w:val="20"/>
          <w:lang w:val="el-GR"/>
        </w:rPr>
        <w:t>- Επικουρική, πλήρης ή μερική, το δικαστήριο ορίζει ότι για την ισχύ όλων ή ορισμένων δικαιοπραξιών απαιτείται η έγγραφη συναίνεση του δικαστικού συμπαραστάτη</w:t>
      </w:r>
    </w:p>
    <w:p w:rsidR="003C5454" w:rsidRDefault="003C5454" w:rsidP="003C5454">
      <w:pPr>
        <w:pStyle w:val="a5"/>
        <w:spacing w:before="120"/>
        <w:jc w:val="both"/>
        <w:rPr>
          <w:lang w:val="el-GR"/>
        </w:rPr>
      </w:pPr>
      <w:r>
        <w:rPr>
          <w:rFonts w:cs="Arial"/>
          <w:i/>
          <w:iCs/>
          <w:lang w:val="el-GR"/>
        </w:rPr>
        <w:t>(ΑΚ 1676, 1683)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345"/>
    <w:multiLevelType w:val="hybridMultilevel"/>
    <w:tmpl w:val="75F0DB88"/>
    <w:lvl w:ilvl="0" w:tplc="BC405616">
      <w:start w:val="1"/>
      <w:numFmt w:val="bullet"/>
      <w:lvlText w:val=""/>
      <w:lvlJc w:val="left"/>
      <w:pPr>
        <w:tabs>
          <w:tab w:val="num" w:pos="717"/>
        </w:tabs>
        <w:ind w:left="357" w:firstLine="0"/>
      </w:pPr>
      <w:rPr>
        <w:rFonts w:ascii="Symbol" w:hAnsi="Symbol" w:hint="default"/>
        <w:color w:val="auto"/>
      </w:rPr>
    </w:lvl>
    <w:lvl w:ilvl="1" w:tplc="7170708A">
      <w:start w:val="1"/>
      <w:numFmt w:val="bullet"/>
      <w:lvlText w:val=""/>
      <w:lvlJc w:val="left"/>
      <w:pPr>
        <w:tabs>
          <w:tab w:val="num" w:pos="1778"/>
        </w:tabs>
        <w:ind w:left="1418"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DF4E90"/>
    <w:multiLevelType w:val="hybridMultilevel"/>
    <w:tmpl w:val="8158ADF2"/>
    <w:lvl w:ilvl="0" w:tplc="91A4AD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180F51"/>
    <w:multiLevelType w:val="hybridMultilevel"/>
    <w:tmpl w:val="6F36D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87"/>
    <w:rsid w:val="003C5454"/>
    <w:rsid w:val="00523C37"/>
    <w:rsid w:val="00834B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54"/>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Char"/>
    <w:qFormat/>
    <w:rsid w:val="003C5454"/>
    <w:pPr>
      <w:keepNext/>
      <w:spacing w:line="360" w:lineRule="auto"/>
      <w:jc w:val="both"/>
      <w:outlineLvl w:val="1"/>
    </w:pPr>
    <w:rPr>
      <w:rFonts w:ascii="Arial" w:hAnsi="Arial" w:cs="Arial"/>
      <w:b/>
      <w:bCs/>
      <w:lang w:val="el-GR"/>
    </w:rPr>
  </w:style>
  <w:style w:type="paragraph" w:styleId="4">
    <w:name w:val="heading 4"/>
    <w:basedOn w:val="a"/>
    <w:next w:val="a"/>
    <w:link w:val="4Char"/>
    <w:qFormat/>
    <w:rsid w:val="003C5454"/>
    <w:pPr>
      <w:keepNext/>
      <w:overflowPunct w:val="0"/>
      <w:autoSpaceDE w:val="0"/>
      <w:autoSpaceDN w:val="0"/>
      <w:adjustRightInd w:val="0"/>
      <w:spacing w:before="120" w:line="360" w:lineRule="auto"/>
      <w:jc w:val="both"/>
      <w:textAlignment w:val="baseline"/>
      <w:outlineLvl w:val="3"/>
    </w:pPr>
    <w:rPr>
      <w:rFonts w:ascii="Arial" w:hAnsi="Arial" w:cs="Arial"/>
      <w:b/>
      <w:bCs/>
      <w:color w:val="FF0000"/>
      <w:sz w:val="32"/>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C5454"/>
    <w:rPr>
      <w:rFonts w:ascii="Arial" w:eastAsia="Times New Roman" w:hAnsi="Arial" w:cs="Arial"/>
      <w:b/>
      <w:bCs/>
      <w:sz w:val="24"/>
      <w:szCs w:val="24"/>
    </w:rPr>
  </w:style>
  <w:style w:type="character" w:customStyle="1" w:styleId="4Char">
    <w:name w:val="Επικεφαλίδα 4 Char"/>
    <w:basedOn w:val="a0"/>
    <w:link w:val="4"/>
    <w:rsid w:val="003C5454"/>
    <w:rPr>
      <w:rFonts w:ascii="Arial" w:eastAsia="Times New Roman" w:hAnsi="Arial" w:cs="Arial"/>
      <w:b/>
      <w:bCs/>
      <w:color w:val="FF0000"/>
      <w:sz w:val="32"/>
      <w:szCs w:val="20"/>
    </w:rPr>
  </w:style>
  <w:style w:type="paragraph" w:styleId="a3">
    <w:name w:val="Body Text"/>
    <w:basedOn w:val="a"/>
    <w:link w:val="Char"/>
    <w:semiHidden/>
    <w:rsid w:val="003C5454"/>
    <w:pPr>
      <w:spacing w:line="360" w:lineRule="auto"/>
      <w:jc w:val="both"/>
    </w:pPr>
    <w:rPr>
      <w:rFonts w:ascii="Arial" w:hAnsi="Arial" w:cs="Arial"/>
      <w:lang w:val="el-GR"/>
    </w:rPr>
  </w:style>
  <w:style w:type="character" w:customStyle="1" w:styleId="Char">
    <w:name w:val="Σώμα κειμένου Char"/>
    <w:basedOn w:val="a0"/>
    <w:link w:val="a3"/>
    <w:semiHidden/>
    <w:rsid w:val="003C5454"/>
    <w:rPr>
      <w:rFonts w:ascii="Arial" w:eastAsia="Times New Roman" w:hAnsi="Arial" w:cs="Arial"/>
      <w:sz w:val="24"/>
      <w:szCs w:val="24"/>
    </w:rPr>
  </w:style>
  <w:style w:type="character" w:styleId="a4">
    <w:name w:val="footnote reference"/>
    <w:semiHidden/>
    <w:rsid w:val="003C5454"/>
    <w:rPr>
      <w:vertAlign w:val="superscript"/>
    </w:rPr>
  </w:style>
  <w:style w:type="paragraph" w:styleId="a5">
    <w:name w:val="footnote text"/>
    <w:basedOn w:val="a"/>
    <w:link w:val="Char0"/>
    <w:semiHidden/>
    <w:rsid w:val="003C5454"/>
    <w:pPr>
      <w:overflowPunct w:val="0"/>
      <w:autoSpaceDE w:val="0"/>
      <w:autoSpaceDN w:val="0"/>
      <w:adjustRightInd w:val="0"/>
      <w:textAlignment w:val="baseline"/>
    </w:pPr>
    <w:rPr>
      <w:rFonts w:ascii="Arial" w:hAnsi="Arial"/>
      <w:sz w:val="20"/>
      <w:szCs w:val="20"/>
      <w:lang w:val="en-US"/>
    </w:rPr>
  </w:style>
  <w:style w:type="character" w:customStyle="1" w:styleId="Char0">
    <w:name w:val="Κείμενο υποσημείωσης Char"/>
    <w:basedOn w:val="a0"/>
    <w:link w:val="a5"/>
    <w:semiHidden/>
    <w:rsid w:val="003C5454"/>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54"/>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Char"/>
    <w:qFormat/>
    <w:rsid w:val="003C5454"/>
    <w:pPr>
      <w:keepNext/>
      <w:spacing w:line="360" w:lineRule="auto"/>
      <w:jc w:val="both"/>
      <w:outlineLvl w:val="1"/>
    </w:pPr>
    <w:rPr>
      <w:rFonts w:ascii="Arial" w:hAnsi="Arial" w:cs="Arial"/>
      <w:b/>
      <w:bCs/>
      <w:lang w:val="el-GR"/>
    </w:rPr>
  </w:style>
  <w:style w:type="paragraph" w:styleId="4">
    <w:name w:val="heading 4"/>
    <w:basedOn w:val="a"/>
    <w:next w:val="a"/>
    <w:link w:val="4Char"/>
    <w:qFormat/>
    <w:rsid w:val="003C5454"/>
    <w:pPr>
      <w:keepNext/>
      <w:overflowPunct w:val="0"/>
      <w:autoSpaceDE w:val="0"/>
      <w:autoSpaceDN w:val="0"/>
      <w:adjustRightInd w:val="0"/>
      <w:spacing w:before="120" w:line="360" w:lineRule="auto"/>
      <w:jc w:val="both"/>
      <w:textAlignment w:val="baseline"/>
      <w:outlineLvl w:val="3"/>
    </w:pPr>
    <w:rPr>
      <w:rFonts w:ascii="Arial" w:hAnsi="Arial" w:cs="Arial"/>
      <w:b/>
      <w:bCs/>
      <w:color w:val="FF0000"/>
      <w:sz w:val="32"/>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C5454"/>
    <w:rPr>
      <w:rFonts w:ascii="Arial" w:eastAsia="Times New Roman" w:hAnsi="Arial" w:cs="Arial"/>
      <w:b/>
      <w:bCs/>
      <w:sz w:val="24"/>
      <w:szCs w:val="24"/>
    </w:rPr>
  </w:style>
  <w:style w:type="character" w:customStyle="1" w:styleId="4Char">
    <w:name w:val="Επικεφαλίδα 4 Char"/>
    <w:basedOn w:val="a0"/>
    <w:link w:val="4"/>
    <w:rsid w:val="003C5454"/>
    <w:rPr>
      <w:rFonts w:ascii="Arial" w:eastAsia="Times New Roman" w:hAnsi="Arial" w:cs="Arial"/>
      <w:b/>
      <w:bCs/>
      <w:color w:val="FF0000"/>
      <w:sz w:val="32"/>
      <w:szCs w:val="20"/>
    </w:rPr>
  </w:style>
  <w:style w:type="paragraph" w:styleId="a3">
    <w:name w:val="Body Text"/>
    <w:basedOn w:val="a"/>
    <w:link w:val="Char"/>
    <w:semiHidden/>
    <w:rsid w:val="003C5454"/>
    <w:pPr>
      <w:spacing w:line="360" w:lineRule="auto"/>
      <w:jc w:val="both"/>
    </w:pPr>
    <w:rPr>
      <w:rFonts w:ascii="Arial" w:hAnsi="Arial" w:cs="Arial"/>
      <w:lang w:val="el-GR"/>
    </w:rPr>
  </w:style>
  <w:style w:type="character" w:customStyle="1" w:styleId="Char">
    <w:name w:val="Σώμα κειμένου Char"/>
    <w:basedOn w:val="a0"/>
    <w:link w:val="a3"/>
    <w:semiHidden/>
    <w:rsid w:val="003C5454"/>
    <w:rPr>
      <w:rFonts w:ascii="Arial" w:eastAsia="Times New Roman" w:hAnsi="Arial" w:cs="Arial"/>
      <w:sz w:val="24"/>
      <w:szCs w:val="24"/>
    </w:rPr>
  </w:style>
  <w:style w:type="character" w:styleId="a4">
    <w:name w:val="footnote reference"/>
    <w:semiHidden/>
    <w:rsid w:val="003C5454"/>
    <w:rPr>
      <w:vertAlign w:val="superscript"/>
    </w:rPr>
  </w:style>
  <w:style w:type="paragraph" w:styleId="a5">
    <w:name w:val="footnote text"/>
    <w:basedOn w:val="a"/>
    <w:link w:val="Char0"/>
    <w:semiHidden/>
    <w:rsid w:val="003C5454"/>
    <w:pPr>
      <w:overflowPunct w:val="0"/>
      <w:autoSpaceDE w:val="0"/>
      <w:autoSpaceDN w:val="0"/>
      <w:adjustRightInd w:val="0"/>
      <w:textAlignment w:val="baseline"/>
    </w:pPr>
    <w:rPr>
      <w:rFonts w:ascii="Arial" w:hAnsi="Arial"/>
      <w:sz w:val="20"/>
      <w:szCs w:val="20"/>
      <w:lang w:val="en-US"/>
    </w:rPr>
  </w:style>
  <w:style w:type="character" w:customStyle="1" w:styleId="Char0">
    <w:name w:val="Κείμενο υποσημείωσης Char"/>
    <w:basedOn w:val="a0"/>
    <w:link w:val="a5"/>
    <w:semiHidden/>
    <w:rsid w:val="003C5454"/>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2491</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nomiki ipiresia</dc:creator>
  <cp:keywords/>
  <dc:description/>
  <cp:lastModifiedBy>nomiki ipiresia</cp:lastModifiedBy>
  <cp:revision>2</cp:revision>
  <dcterms:created xsi:type="dcterms:W3CDTF">2014-11-27T10:13:00Z</dcterms:created>
  <dcterms:modified xsi:type="dcterms:W3CDTF">2014-11-27T10:13:00Z</dcterms:modified>
</cp:coreProperties>
</file>